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8C6AC">
      <w:pPr>
        <w:spacing w:before="102" w:line="219" w:lineRule="auto"/>
        <w:ind w:left="2711"/>
        <w:outlineLvl w:val="0"/>
        <w:rPr>
          <w:rFonts w:ascii="宋体" w:hAnsi="宋体" w:eastAsia="宋体" w:cs="宋体"/>
          <w:sz w:val="52"/>
          <w:szCs w:val="52"/>
        </w:rPr>
      </w:pPr>
      <w:r>
        <w:rPr>
          <w:rFonts w:ascii="宋体" w:hAnsi="宋体" w:eastAsia="宋体" w:cs="宋体"/>
          <w:b/>
          <w:bCs/>
          <w:spacing w:val="-42"/>
          <w:sz w:val="52"/>
          <w:szCs w:val="52"/>
        </w:rPr>
        <w:t>柳州市景行小学教育集团研后反思单</w:t>
      </w:r>
    </w:p>
    <w:p w14:paraId="398C58B8">
      <w:pPr>
        <w:spacing w:before="290" w:line="219" w:lineRule="auto"/>
        <w:ind w:left="5210"/>
        <w:rPr>
          <w:rFonts w:ascii="宋体" w:hAnsi="宋体" w:eastAsia="宋体" w:cs="宋体"/>
          <w:sz w:val="41"/>
          <w:szCs w:val="41"/>
        </w:rPr>
      </w:pPr>
      <w:r>
        <w:rPr>
          <w:rFonts w:ascii="宋体" w:hAnsi="宋体" w:eastAsia="宋体" w:cs="宋体"/>
          <w:b/>
          <w:bCs/>
          <w:spacing w:val="-15"/>
          <w:sz w:val="41"/>
          <w:szCs w:val="41"/>
        </w:rPr>
        <w:t>(单科教研专用)</w:t>
      </w:r>
    </w:p>
    <w:p w14:paraId="1F5E077C">
      <w:pPr>
        <w:spacing w:line="120" w:lineRule="exact"/>
      </w:pPr>
    </w:p>
    <w:tbl>
      <w:tblPr>
        <w:tblStyle w:val="4"/>
        <w:tblW w:w="130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9"/>
        <w:gridCol w:w="1935"/>
        <w:gridCol w:w="2675"/>
        <w:gridCol w:w="1859"/>
        <w:gridCol w:w="4751"/>
      </w:tblGrid>
      <w:tr w14:paraId="07138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799" w:type="dxa"/>
            <w:vAlign w:val="top"/>
          </w:tcPr>
          <w:p w14:paraId="430DE228">
            <w:pPr>
              <w:spacing w:before="260" w:line="219" w:lineRule="auto"/>
              <w:ind w:left="204"/>
              <w:jc w:val="left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4"/>
                <w:sz w:val="36"/>
                <w:szCs w:val="36"/>
              </w:rPr>
              <w:t>反思内容</w:t>
            </w:r>
          </w:p>
        </w:tc>
        <w:tc>
          <w:tcPr>
            <w:tcW w:w="11220" w:type="dxa"/>
            <w:gridSpan w:val="4"/>
            <w:vAlign w:val="center"/>
          </w:tcPr>
          <w:p w14:paraId="4EA1F78B">
            <w:pPr>
              <w:pStyle w:val="5"/>
              <w:jc w:val="center"/>
              <w:rPr>
                <w:rFonts w:hint="default" w:eastAsia="宋体"/>
                <w:sz w:val="36"/>
                <w:szCs w:val="36"/>
                <w:lang w:val="en-US" w:eastAsia="zh-CN"/>
              </w:rPr>
            </w:pPr>
            <w:r>
              <w:rPr>
                <w:rFonts w:hint="eastAsia" w:eastAsia="宋体"/>
                <w:sz w:val="36"/>
                <w:szCs w:val="36"/>
                <w:lang w:val="en-US" w:eastAsia="zh-CN"/>
              </w:rPr>
              <w:t>人教版二年级下册第三单元《万以内数的认识》</w:t>
            </w:r>
          </w:p>
        </w:tc>
      </w:tr>
      <w:tr w14:paraId="23401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799" w:type="dxa"/>
            <w:vAlign w:val="top"/>
          </w:tcPr>
          <w:p w14:paraId="7DCBA752">
            <w:pPr>
              <w:spacing w:before="247" w:line="221" w:lineRule="auto"/>
              <w:ind w:left="204"/>
              <w:jc w:val="left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8"/>
                <w:sz w:val="36"/>
                <w:szCs w:val="36"/>
              </w:rPr>
              <w:t>研讨时间</w:t>
            </w:r>
          </w:p>
        </w:tc>
        <w:tc>
          <w:tcPr>
            <w:tcW w:w="4610" w:type="dxa"/>
            <w:gridSpan w:val="2"/>
            <w:vAlign w:val="center"/>
          </w:tcPr>
          <w:p w14:paraId="25DD87DA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sz w:val="36"/>
                <w:szCs w:val="36"/>
                <w:lang w:val="en-US" w:eastAsia="zh-CN"/>
              </w:rPr>
              <w:t>2026.5.9</w:t>
            </w:r>
          </w:p>
        </w:tc>
        <w:tc>
          <w:tcPr>
            <w:tcW w:w="1859" w:type="dxa"/>
            <w:vAlign w:val="top"/>
          </w:tcPr>
          <w:p w14:paraId="2DBAC5B6">
            <w:pPr>
              <w:spacing w:before="247" w:line="221" w:lineRule="auto"/>
              <w:ind w:left="206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8"/>
                <w:sz w:val="36"/>
                <w:szCs w:val="36"/>
              </w:rPr>
              <w:t>研讨地点</w:t>
            </w:r>
          </w:p>
        </w:tc>
        <w:tc>
          <w:tcPr>
            <w:tcW w:w="4751" w:type="dxa"/>
            <w:vAlign w:val="center"/>
          </w:tcPr>
          <w:p w14:paraId="47EC2853">
            <w:pPr>
              <w:pStyle w:val="5"/>
              <w:jc w:val="center"/>
              <w:rPr>
                <w:rFonts w:hint="default" w:eastAsia="宋体"/>
                <w:sz w:val="36"/>
                <w:szCs w:val="36"/>
                <w:lang w:val="en-US" w:eastAsia="zh-CN"/>
              </w:rPr>
            </w:pPr>
            <w:r>
              <w:rPr>
                <w:rFonts w:hint="eastAsia" w:eastAsia="宋体"/>
                <w:sz w:val="36"/>
                <w:szCs w:val="36"/>
                <w:lang w:val="en-US" w:eastAsia="zh-CN"/>
              </w:rPr>
              <w:t>二年级办公室</w:t>
            </w:r>
          </w:p>
        </w:tc>
      </w:tr>
      <w:tr w14:paraId="216B7B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799" w:type="dxa"/>
            <w:vAlign w:val="top"/>
          </w:tcPr>
          <w:p w14:paraId="40D02068">
            <w:pPr>
              <w:spacing w:before="246" w:line="219" w:lineRule="auto"/>
              <w:ind w:left="204"/>
              <w:jc w:val="left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4"/>
                <w:sz w:val="36"/>
                <w:szCs w:val="36"/>
              </w:rPr>
              <w:t>反思教师</w:t>
            </w:r>
          </w:p>
        </w:tc>
        <w:tc>
          <w:tcPr>
            <w:tcW w:w="4610" w:type="dxa"/>
            <w:gridSpan w:val="2"/>
            <w:vAlign w:val="center"/>
          </w:tcPr>
          <w:p w14:paraId="38F79A35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sz w:val="36"/>
                <w:szCs w:val="36"/>
                <w:lang w:val="en-US" w:eastAsia="zh-CN"/>
              </w:rPr>
              <w:t>李安琪</w:t>
            </w:r>
          </w:p>
        </w:tc>
        <w:tc>
          <w:tcPr>
            <w:tcW w:w="1859" w:type="dxa"/>
            <w:vAlign w:val="top"/>
          </w:tcPr>
          <w:p w14:paraId="6222D2E8">
            <w:pPr>
              <w:spacing w:before="248" w:line="221" w:lineRule="auto"/>
              <w:ind w:left="206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3"/>
                <w:sz w:val="36"/>
                <w:szCs w:val="36"/>
              </w:rPr>
              <w:t>研讨小组</w:t>
            </w:r>
          </w:p>
        </w:tc>
        <w:tc>
          <w:tcPr>
            <w:tcW w:w="4751" w:type="dxa"/>
            <w:vAlign w:val="center"/>
          </w:tcPr>
          <w:p w14:paraId="25C61ED2">
            <w:pPr>
              <w:pStyle w:val="5"/>
              <w:jc w:val="center"/>
              <w:rPr>
                <w:rFonts w:hint="eastAsia" w:eastAsia="宋体"/>
                <w:sz w:val="36"/>
                <w:szCs w:val="36"/>
                <w:lang w:val="en-US" w:eastAsia="zh-CN"/>
              </w:rPr>
            </w:pPr>
            <w:r>
              <w:rPr>
                <w:rFonts w:hint="eastAsia" w:eastAsia="宋体"/>
                <w:sz w:val="36"/>
                <w:szCs w:val="36"/>
                <w:lang w:val="en-US" w:eastAsia="zh-CN"/>
              </w:rPr>
              <w:t>二年级组</w:t>
            </w:r>
          </w:p>
        </w:tc>
      </w:tr>
      <w:tr w14:paraId="41182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9" w:hRule="atLeast"/>
        </w:trPr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7EB0728F">
            <w:pPr>
              <w:pStyle w:val="5"/>
              <w:spacing w:line="252" w:lineRule="auto"/>
            </w:pPr>
          </w:p>
          <w:p w14:paraId="760BD763">
            <w:pPr>
              <w:pStyle w:val="5"/>
              <w:spacing w:line="252" w:lineRule="auto"/>
            </w:pPr>
          </w:p>
          <w:p w14:paraId="765D81B5">
            <w:pPr>
              <w:pStyle w:val="5"/>
              <w:spacing w:line="252" w:lineRule="auto"/>
            </w:pPr>
          </w:p>
          <w:p w14:paraId="03C7EBAD">
            <w:pPr>
              <w:pStyle w:val="5"/>
              <w:spacing w:line="252" w:lineRule="auto"/>
            </w:pPr>
          </w:p>
          <w:p w14:paraId="2F09C5B0">
            <w:pPr>
              <w:pStyle w:val="5"/>
              <w:spacing w:line="252" w:lineRule="auto"/>
            </w:pPr>
          </w:p>
          <w:p w14:paraId="2A11BCF5">
            <w:pPr>
              <w:pStyle w:val="5"/>
              <w:spacing w:line="252" w:lineRule="auto"/>
            </w:pPr>
          </w:p>
          <w:p w14:paraId="34BBE2D4">
            <w:pPr>
              <w:pStyle w:val="5"/>
              <w:spacing w:line="252" w:lineRule="auto"/>
            </w:pPr>
          </w:p>
          <w:p w14:paraId="0089AD15">
            <w:pPr>
              <w:pStyle w:val="5"/>
              <w:spacing w:line="252" w:lineRule="auto"/>
            </w:pPr>
          </w:p>
          <w:p w14:paraId="2A9C4EFE">
            <w:pPr>
              <w:pStyle w:val="5"/>
              <w:spacing w:line="252" w:lineRule="auto"/>
            </w:pPr>
          </w:p>
          <w:p w14:paraId="71873F20">
            <w:pPr>
              <w:pStyle w:val="5"/>
              <w:spacing w:line="252" w:lineRule="auto"/>
            </w:pPr>
          </w:p>
          <w:p w14:paraId="2F121FD3">
            <w:pPr>
              <w:pStyle w:val="5"/>
              <w:spacing w:line="253" w:lineRule="auto"/>
            </w:pPr>
          </w:p>
          <w:p w14:paraId="5981ED4D">
            <w:pPr>
              <w:pStyle w:val="5"/>
              <w:spacing w:line="253" w:lineRule="auto"/>
            </w:pPr>
          </w:p>
          <w:p w14:paraId="68C4122D">
            <w:pPr>
              <w:pStyle w:val="5"/>
              <w:spacing w:line="253" w:lineRule="auto"/>
            </w:pPr>
          </w:p>
          <w:p w14:paraId="7D116C9C">
            <w:pPr>
              <w:spacing w:before="117" w:line="219" w:lineRule="auto"/>
              <w:ind w:left="204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5"/>
                <w:sz w:val="36"/>
                <w:szCs w:val="36"/>
              </w:rPr>
              <w:t>个人反思</w:t>
            </w:r>
          </w:p>
          <w:p w14:paraId="1627CA9F">
            <w:pPr>
              <w:spacing w:before="244" w:line="215" w:lineRule="auto"/>
              <w:ind w:left="14" w:firstLine="96"/>
              <w:jc w:val="both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-5"/>
                <w:sz w:val="32"/>
                <w:szCs w:val="32"/>
              </w:rPr>
              <w:t>(针对研中</w:t>
            </w: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32"/>
                <w:szCs w:val="32"/>
              </w:rPr>
              <w:t>观察单的指</w:t>
            </w:r>
            <w:r>
              <w:rPr>
                <w:rFonts w:ascii="宋体" w:hAnsi="宋体" w:eastAsia="宋体" w:cs="宋体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>标进行反思)</w:t>
            </w:r>
          </w:p>
        </w:tc>
        <w:tc>
          <w:tcPr>
            <w:tcW w:w="1935" w:type="dxa"/>
            <w:vAlign w:val="top"/>
          </w:tcPr>
          <w:p w14:paraId="5E2B4726">
            <w:pPr>
              <w:pStyle w:val="5"/>
              <w:spacing w:line="277" w:lineRule="auto"/>
              <w:rPr>
                <w:sz w:val="21"/>
                <w:szCs w:val="21"/>
              </w:rPr>
            </w:pPr>
          </w:p>
          <w:p w14:paraId="51D16710">
            <w:pPr>
              <w:pStyle w:val="5"/>
              <w:spacing w:line="278" w:lineRule="auto"/>
              <w:rPr>
                <w:sz w:val="21"/>
                <w:szCs w:val="21"/>
              </w:rPr>
            </w:pPr>
          </w:p>
          <w:p w14:paraId="5488C264">
            <w:pPr>
              <w:spacing w:before="117" w:line="285" w:lineRule="auto"/>
              <w:ind w:left="571" w:right="209" w:hanging="360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4"/>
                <w:sz w:val="36"/>
                <w:szCs w:val="36"/>
              </w:rPr>
              <w:t>目标达成</w:t>
            </w:r>
            <w:r>
              <w:rPr>
                <w:rFonts w:ascii="宋体" w:hAnsi="宋体" w:eastAsia="宋体" w:cs="宋体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36"/>
                <w:szCs w:val="36"/>
              </w:rPr>
              <w:t>情况</w:t>
            </w:r>
          </w:p>
        </w:tc>
        <w:tc>
          <w:tcPr>
            <w:tcW w:w="9285" w:type="dxa"/>
            <w:gridSpan w:val="3"/>
            <w:vAlign w:val="center"/>
          </w:tcPr>
          <w:p w14:paraId="389289F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10" w:leftChars="100" w:right="210" w:rightChars="100"/>
              <w:jc w:val="both"/>
              <w:textAlignment w:val="baseline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教学目标基本达成，学生能够认识技术单位“万”，理解万以内数的组成，灵活掌握数位顺序表以及其中的进率关系。大部分学生能够理解“10000以内的数都是由几个千，几个百，几个十和几个一”组成的，能借助计数器表示数，能够读写10000以内的数。但仍然有少数学生在数“拐弯数”（如9999到10000）、理解数位间的进位关系上存在困难。</w:t>
            </w:r>
          </w:p>
        </w:tc>
      </w:tr>
      <w:tr w14:paraId="0FBD4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9" w:hRule="atLeast"/>
        </w:trPr>
        <w:tc>
          <w:tcPr>
            <w:tcW w:w="1799" w:type="dxa"/>
            <w:vMerge w:val="continue"/>
            <w:tcBorders>
              <w:top w:val="nil"/>
              <w:bottom w:val="nil"/>
            </w:tcBorders>
            <w:vAlign w:val="top"/>
          </w:tcPr>
          <w:p w14:paraId="77476AA0">
            <w:pPr>
              <w:pStyle w:val="5"/>
            </w:pPr>
          </w:p>
        </w:tc>
        <w:tc>
          <w:tcPr>
            <w:tcW w:w="1935" w:type="dxa"/>
            <w:vAlign w:val="top"/>
          </w:tcPr>
          <w:p w14:paraId="53C89FCC">
            <w:pPr>
              <w:pStyle w:val="5"/>
              <w:spacing w:line="254" w:lineRule="auto"/>
            </w:pPr>
          </w:p>
          <w:p w14:paraId="6B5235F1">
            <w:pPr>
              <w:pStyle w:val="5"/>
              <w:spacing w:line="254" w:lineRule="auto"/>
            </w:pPr>
          </w:p>
          <w:p w14:paraId="26441C1A">
            <w:pPr>
              <w:spacing w:before="117" w:line="281" w:lineRule="auto"/>
              <w:ind w:left="571" w:right="213" w:hanging="360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3"/>
                <w:sz w:val="36"/>
                <w:szCs w:val="36"/>
              </w:rPr>
              <w:t>教学过程</w:t>
            </w:r>
            <w:r>
              <w:rPr>
                <w:rFonts w:ascii="宋体" w:hAnsi="宋体" w:eastAsia="宋体" w:cs="宋体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36"/>
                <w:szCs w:val="36"/>
              </w:rPr>
              <w:t>反思</w:t>
            </w:r>
          </w:p>
        </w:tc>
        <w:tc>
          <w:tcPr>
            <w:tcW w:w="9285" w:type="dxa"/>
            <w:gridSpan w:val="3"/>
            <w:vAlign w:val="center"/>
          </w:tcPr>
          <w:p w14:paraId="2AFC1E4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10" w:leftChars="100" w:right="210" w:rightChars="100"/>
              <w:jc w:val="left"/>
              <w:textAlignment w:val="baseline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教学环节设计清晰，借助计数器、小方块、星星图等直观教具，有效帮助学生理解万以内数的组成与十进制的关系。引导学生采用多种数数的方法，帮助学生建立数感。但在引导学生多元表征数的组成、突破“拐弯数”的难点时，可适当采取多种展示形式帮助学生在动手操作中理解，或者采取更多的分层练习，让不同层次的学生都能够扎实掌握。</w:t>
            </w:r>
          </w:p>
        </w:tc>
      </w:tr>
      <w:tr w14:paraId="51740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1799" w:type="dxa"/>
            <w:vMerge w:val="continue"/>
            <w:tcBorders>
              <w:top w:val="nil"/>
              <w:bottom w:val="nil"/>
            </w:tcBorders>
            <w:vAlign w:val="top"/>
          </w:tcPr>
          <w:p w14:paraId="0037AD0B">
            <w:pPr>
              <w:pStyle w:val="5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Zhas</w:t>
            </w:r>
          </w:p>
        </w:tc>
        <w:tc>
          <w:tcPr>
            <w:tcW w:w="1935" w:type="dxa"/>
            <w:vAlign w:val="top"/>
          </w:tcPr>
          <w:p w14:paraId="3A97B022">
            <w:pPr>
              <w:pStyle w:val="5"/>
              <w:spacing w:line="258" w:lineRule="auto"/>
            </w:pPr>
          </w:p>
          <w:p w14:paraId="5F301C3F">
            <w:pPr>
              <w:pStyle w:val="5"/>
              <w:spacing w:line="259" w:lineRule="auto"/>
            </w:pPr>
          </w:p>
          <w:p w14:paraId="73FB1B85">
            <w:pPr>
              <w:spacing w:before="117" w:line="282" w:lineRule="auto"/>
              <w:ind w:left="571" w:right="210" w:hanging="360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3"/>
                <w:sz w:val="36"/>
                <w:szCs w:val="36"/>
              </w:rPr>
              <w:t>教学评价</w:t>
            </w:r>
            <w:r>
              <w:rPr>
                <w:rFonts w:ascii="宋体" w:hAnsi="宋体" w:eastAsia="宋体" w:cs="宋体"/>
                <w:spacing w:val="2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36"/>
                <w:szCs w:val="36"/>
              </w:rPr>
              <w:t>反思</w:t>
            </w:r>
          </w:p>
        </w:tc>
        <w:tc>
          <w:tcPr>
            <w:tcW w:w="9285" w:type="dxa"/>
            <w:gridSpan w:val="3"/>
            <w:vAlign w:val="center"/>
          </w:tcPr>
          <w:p w14:paraId="69DE737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10" w:leftChars="100" w:right="210" w:rightChars="100"/>
              <w:jc w:val="left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评价方式多样，能关注学生的操作与表达，但在评价的深度上还有提升空间。对于学生的数数、数的组成表述，应更多地给予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及时的、</w:t>
            </w:r>
            <w:r>
              <w:rPr>
                <w:rFonts w:hint="eastAsia"/>
                <w:sz w:val="28"/>
                <w:szCs w:val="28"/>
              </w:rPr>
              <w:t>具体的、鼓励性的反馈，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引导学生对万以内数的深度探索，</w:t>
            </w:r>
            <w:r>
              <w:rPr>
                <w:rFonts w:hint="eastAsia"/>
                <w:sz w:val="28"/>
                <w:szCs w:val="28"/>
              </w:rPr>
              <w:t>同时针对错误表述进行精准引导，帮助学生理清概念，激发学习动力。</w:t>
            </w:r>
          </w:p>
        </w:tc>
      </w:tr>
      <w:tr w14:paraId="6E1FB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9" w:hRule="atLeast"/>
        </w:trPr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45F2DC1F">
            <w:pPr>
              <w:pStyle w:val="5"/>
            </w:pPr>
          </w:p>
        </w:tc>
        <w:tc>
          <w:tcPr>
            <w:tcW w:w="1935" w:type="dxa"/>
            <w:vAlign w:val="top"/>
          </w:tcPr>
          <w:p w14:paraId="4958B332">
            <w:pPr>
              <w:pStyle w:val="5"/>
              <w:spacing w:line="256" w:lineRule="auto"/>
            </w:pPr>
          </w:p>
          <w:p w14:paraId="67DC7B43">
            <w:pPr>
              <w:pStyle w:val="5"/>
              <w:spacing w:line="256" w:lineRule="auto"/>
            </w:pPr>
          </w:p>
          <w:p w14:paraId="69727F81">
            <w:pPr>
              <w:spacing w:before="117" w:line="280" w:lineRule="auto"/>
              <w:ind w:left="571" w:right="211" w:hanging="360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3"/>
                <w:sz w:val="36"/>
                <w:szCs w:val="36"/>
              </w:rPr>
              <w:t>学生表现</w:t>
            </w:r>
            <w:r>
              <w:rPr>
                <w:rFonts w:ascii="宋体" w:hAnsi="宋体" w:eastAsia="宋体" w:cs="宋体"/>
                <w:spacing w:val="1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36"/>
                <w:szCs w:val="36"/>
              </w:rPr>
              <w:t>反思</w:t>
            </w:r>
          </w:p>
        </w:tc>
        <w:tc>
          <w:tcPr>
            <w:tcW w:w="9285" w:type="dxa"/>
            <w:gridSpan w:val="3"/>
            <w:vAlign w:val="center"/>
          </w:tcPr>
          <w:p w14:paraId="25EC857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10" w:leftChars="100" w:right="210" w:rightChars="100"/>
              <w:jc w:val="left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学生整体参与度较高，对计数器操作、数星星等活动兴趣浓厚，能认真倾听并参与小组交流</w:t>
            </w:r>
            <w:r>
              <w:rPr>
                <w:rFonts w:hint="eastAsia" w:eastAsia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主动分享自己的见解，并且在其他同学出现不同意见时大胆表达</w:t>
            </w:r>
            <w:r>
              <w:rPr>
                <w:rFonts w:hint="eastAsia"/>
                <w:sz w:val="28"/>
                <w:szCs w:val="28"/>
              </w:rPr>
              <w:t>。但在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尝试用自己的话表述</w:t>
            </w:r>
            <w:r>
              <w:rPr>
                <w:rFonts w:hint="eastAsia"/>
                <w:sz w:val="28"/>
                <w:szCs w:val="28"/>
              </w:rPr>
              <w:t>用不同方法表示数方面有所欠缺，需要在今后的教学中注重培养学生的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表达能力、</w:t>
            </w:r>
            <w:r>
              <w:rPr>
                <w:rFonts w:hint="eastAsia"/>
                <w:sz w:val="28"/>
                <w:szCs w:val="28"/>
              </w:rPr>
              <w:t>探究意识和数感迁移能力。</w:t>
            </w:r>
          </w:p>
        </w:tc>
      </w:tr>
      <w:tr w14:paraId="48E75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</w:trPr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04DF5DD1">
            <w:pPr>
              <w:pStyle w:val="5"/>
              <w:spacing w:line="247" w:lineRule="auto"/>
            </w:pPr>
          </w:p>
          <w:p w14:paraId="4811165A">
            <w:pPr>
              <w:pStyle w:val="5"/>
              <w:spacing w:line="247" w:lineRule="auto"/>
            </w:pPr>
          </w:p>
          <w:p w14:paraId="60ADA225">
            <w:pPr>
              <w:pStyle w:val="5"/>
              <w:spacing w:line="247" w:lineRule="auto"/>
            </w:pPr>
          </w:p>
          <w:p w14:paraId="30C96A98">
            <w:pPr>
              <w:pStyle w:val="5"/>
              <w:spacing w:line="247" w:lineRule="auto"/>
            </w:pPr>
          </w:p>
          <w:p w14:paraId="25522F23">
            <w:pPr>
              <w:pStyle w:val="5"/>
              <w:spacing w:line="247" w:lineRule="auto"/>
            </w:pPr>
          </w:p>
          <w:p w14:paraId="6FBF1D83">
            <w:pPr>
              <w:pStyle w:val="5"/>
              <w:spacing w:line="247" w:lineRule="auto"/>
            </w:pPr>
          </w:p>
          <w:p w14:paraId="0779CEF0">
            <w:pPr>
              <w:pStyle w:val="5"/>
              <w:spacing w:line="247" w:lineRule="auto"/>
            </w:pPr>
          </w:p>
          <w:p w14:paraId="437E0937">
            <w:pPr>
              <w:pStyle w:val="5"/>
              <w:spacing w:line="247" w:lineRule="auto"/>
            </w:pPr>
          </w:p>
          <w:p w14:paraId="55425EF8">
            <w:pPr>
              <w:pStyle w:val="5"/>
              <w:spacing w:line="247" w:lineRule="auto"/>
            </w:pPr>
          </w:p>
          <w:p w14:paraId="02B832A9">
            <w:pPr>
              <w:pStyle w:val="5"/>
              <w:spacing w:line="248" w:lineRule="auto"/>
            </w:pPr>
          </w:p>
          <w:p w14:paraId="680C9D93">
            <w:pPr>
              <w:pStyle w:val="5"/>
              <w:spacing w:line="248" w:lineRule="auto"/>
            </w:pPr>
          </w:p>
          <w:p w14:paraId="5B42B8CA">
            <w:pPr>
              <w:pStyle w:val="5"/>
              <w:spacing w:line="248" w:lineRule="auto"/>
            </w:pPr>
          </w:p>
          <w:p w14:paraId="5F7A21C1">
            <w:pPr>
              <w:pStyle w:val="5"/>
              <w:spacing w:line="248" w:lineRule="auto"/>
            </w:pPr>
          </w:p>
          <w:p w14:paraId="5162FB05">
            <w:pPr>
              <w:pStyle w:val="5"/>
              <w:spacing w:line="248" w:lineRule="auto"/>
            </w:pPr>
          </w:p>
          <w:p w14:paraId="412EA3C1">
            <w:pPr>
              <w:spacing w:before="117" w:line="220" w:lineRule="auto"/>
              <w:ind w:left="204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4"/>
                <w:sz w:val="36"/>
                <w:szCs w:val="36"/>
              </w:rPr>
              <w:t>小组建议</w:t>
            </w:r>
          </w:p>
        </w:tc>
        <w:tc>
          <w:tcPr>
            <w:tcW w:w="1935" w:type="dxa"/>
            <w:vAlign w:val="top"/>
          </w:tcPr>
          <w:p w14:paraId="30D729E4">
            <w:pPr>
              <w:pStyle w:val="5"/>
              <w:spacing w:line="249" w:lineRule="auto"/>
            </w:pPr>
          </w:p>
          <w:p w14:paraId="0A35BD1A">
            <w:pPr>
              <w:pStyle w:val="5"/>
              <w:spacing w:line="250" w:lineRule="auto"/>
            </w:pPr>
          </w:p>
          <w:p w14:paraId="7F6BBC5C">
            <w:pPr>
              <w:pStyle w:val="5"/>
              <w:spacing w:line="250" w:lineRule="auto"/>
            </w:pPr>
          </w:p>
          <w:p w14:paraId="7EC7B9B6">
            <w:pPr>
              <w:spacing w:before="117" w:line="219" w:lineRule="auto"/>
              <w:ind w:left="211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8"/>
                <w:sz w:val="36"/>
                <w:szCs w:val="36"/>
              </w:rPr>
              <w:t>教学亮点</w:t>
            </w:r>
          </w:p>
        </w:tc>
        <w:tc>
          <w:tcPr>
            <w:tcW w:w="9285" w:type="dxa"/>
            <w:gridSpan w:val="3"/>
            <w:vAlign w:val="center"/>
          </w:tcPr>
          <w:p w14:paraId="4ADCDEB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10" w:leftChars="100" w:right="210" w:rightChars="100"/>
              <w:jc w:val="left"/>
              <w:textAlignment w:val="baseline"/>
              <w:rPr>
                <w:sz w:val="28"/>
                <w:szCs w:val="28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1.情境化创设吸引学生：采用生活化的情境导入课程，借助一幅星星图激发学生的兴趣和探究欲，让学生先估后数，再到了解数的组成，逐步深化探究。让学生2</w:t>
            </w:r>
            <w:r>
              <w:rPr>
                <w:rFonts w:hint="eastAsia"/>
                <w:sz w:val="28"/>
                <w:szCs w:val="28"/>
              </w:rPr>
              <w:t>. 借助直观教具（计数器、小方块）突破重难点，帮助学生建立数的概念，符合低年级学生的认知特点。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/>
                <w:sz w:val="28"/>
                <w:szCs w:val="28"/>
              </w:rPr>
              <w:t>. 重视十进制关系的理解，通过“一千一千地数”“9999加1”的演示，让学生直观感受计数单位的递进。</w:t>
            </w:r>
          </w:p>
        </w:tc>
      </w:tr>
      <w:tr w14:paraId="0127E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8" w:hRule="atLeast"/>
        </w:trPr>
        <w:tc>
          <w:tcPr>
            <w:tcW w:w="1799" w:type="dxa"/>
            <w:vMerge w:val="continue"/>
            <w:tcBorders>
              <w:top w:val="nil"/>
              <w:bottom w:val="nil"/>
            </w:tcBorders>
            <w:vAlign w:val="top"/>
          </w:tcPr>
          <w:p w14:paraId="5EA12B2D">
            <w:pPr>
              <w:pStyle w:val="5"/>
            </w:pPr>
          </w:p>
        </w:tc>
        <w:tc>
          <w:tcPr>
            <w:tcW w:w="1935" w:type="dxa"/>
            <w:vAlign w:val="top"/>
          </w:tcPr>
          <w:p w14:paraId="471E1C20">
            <w:pPr>
              <w:pStyle w:val="5"/>
              <w:spacing w:line="257" w:lineRule="auto"/>
            </w:pPr>
          </w:p>
          <w:p w14:paraId="5E3FF6C9">
            <w:pPr>
              <w:pStyle w:val="5"/>
              <w:spacing w:line="257" w:lineRule="auto"/>
            </w:pPr>
          </w:p>
          <w:p w14:paraId="5CDC6583">
            <w:pPr>
              <w:pStyle w:val="5"/>
              <w:spacing w:line="257" w:lineRule="auto"/>
            </w:pPr>
          </w:p>
          <w:p w14:paraId="6AA1E534">
            <w:pPr>
              <w:pStyle w:val="5"/>
              <w:spacing w:line="257" w:lineRule="auto"/>
            </w:pPr>
          </w:p>
          <w:p w14:paraId="253B50C2">
            <w:pPr>
              <w:spacing w:before="117" w:line="219" w:lineRule="auto"/>
              <w:ind w:left="211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3"/>
                <w:sz w:val="36"/>
                <w:szCs w:val="36"/>
              </w:rPr>
              <w:t>存在不足</w:t>
            </w:r>
          </w:p>
        </w:tc>
        <w:tc>
          <w:tcPr>
            <w:tcW w:w="9285" w:type="dxa"/>
            <w:gridSpan w:val="3"/>
            <w:vAlign w:val="center"/>
          </w:tcPr>
          <w:p w14:paraId="46F1E70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10" w:leftChars="100" w:right="210" w:rightChars="100"/>
              <w:jc w:val="both"/>
              <w:textAlignment w:val="baseline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1. 对“拐弯数”的难点突破不够充分，部分学生仍未完全理解进位逻辑。2. 对学生数感的培养多停留在操作层面，引导学生联系生活理解大数的意义稍显不足。3. 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在对数“2458”的表示活动时，</w:t>
            </w:r>
            <w:r>
              <w:rPr>
                <w:rFonts w:hint="eastAsia"/>
                <w:sz w:val="28"/>
                <w:szCs w:val="28"/>
              </w:rPr>
              <w:t>时间分配可以进一步优化，对不同层次学生的分层指导不够细致</w:t>
            </w:r>
            <w:r>
              <w:rPr>
                <w:rFonts w:hint="eastAsia" w:eastAsia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未能让学生充分参与到活动之中；同时在小结时未能对回归数的本质进行有效的突破。4.对学生缺少及时的鼓励，容易导致学生在学习的过程中缺少持续性的探究方向。</w:t>
            </w:r>
          </w:p>
        </w:tc>
      </w:tr>
      <w:tr w14:paraId="3A345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3" w:hRule="atLeast"/>
        </w:trPr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1F28176C">
            <w:pPr>
              <w:pStyle w:val="5"/>
            </w:pPr>
          </w:p>
        </w:tc>
        <w:tc>
          <w:tcPr>
            <w:tcW w:w="1935" w:type="dxa"/>
            <w:vAlign w:val="top"/>
          </w:tcPr>
          <w:p w14:paraId="1F8CA564">
            <w:pPr>
              <w:pStyle w:val="5"/>
              <w:spacing w:line="279" w:lineRule="auto"/>
            </w:pPr>
          </w:p>
          <w:p w14:paraId="5DA30F4D">
            <w:pPr>
              <w:pStyle w:val="5"/>
              <w:spacing w:line="280" w:lineRule="auto"/>
            </w:pPr>
          </w:p>
          <w:p w14:paraId="69513868">
            <w:pPr>
              <w:pStyle w:val="5"/>
              <w:spacing w:line="280" w:lineRule="auto"/>
            </w:pPr>
          </w:p>
          <w:p w14:paraId="5A49083B">
            <w:pPr>
              <w:pStyle w:val="5"/>
              <w:spacing w:line="280" w:lineRule="auto"/>
            </w:pPr>
          </w:p>
          <w:p w14:paraId="0B9AEED0">
            <w:pPr>
              <w:spacing w:before="117" w:line="219" w:lineRule="auto"/>
              <w:ind w:left="211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4"/>
                <w:sz w:val="36"/>
                <w:szCs w:val="36"/>
              </w:rPr>
              <w:t>优化建议</w:t>
            </w:r>
          </w:p>
        </w:tc>
        <w:tc>
          <w:tcPr>
            <w:tcW w:w="9285" w:type="dxa"/>
            <w:gridSpan w:val="3"/>
            <w:vAlign w:val="center"/>
          </w:tcPr>
          <w:p w14:paraId="7F2E7B1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10" w:leftChars="100" w:right="210" w:rightChars="10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 增加“拐弯数”专项练习，设计分层数数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任务，借助计数器反复演示进位过程，帮助学生突破难点。2. 丰富生活中的大数实例，引导学生结合具体情境理解“万”的大小，深化数感。3. 调整各教学环节的时间，给学生更多自主探究和展示的时间，让课堂节奏</w:t>
            </w:r>
            <w:r>
              <w:rPr>
                <w:rFonts w:hint="eastAsia" w:eastAsia="宋体"/>
                <w:sz w:val="28"/>
                <w:szCs w:val="28"/>
                <w:lang w:eastAsia="zh-CN"/>
              </w:rPr>
              <w:t>更加</w:t>
            </w:r>
            <w:r>
              <w:rPr>
                <w:rFonts w:hint="eastAsia"/>
                <w:sz w:val="28"/>
                <w:szCs w:val="28"/>
              </w:rPr>
              <w:t>紧凑合理。4. 建立</w:t>
            </w:r>
            <w:r>
              <w:rPr>
                <w:rFonts w:hint="eastAsia" w:eastAsia="宋体"/>
                <w:sz w:val="28"/>
                <w:szCs w:val="28"/>
                <w:lang w:eastAsia="zh-CN"/>
              </w:rPr>
              <w:t>及时</w:t>
            </w:r>
            <w:r>
              <w:rPr>
                <w:rFonts w:hint="eastAsia"/>
                <w:sz w:val="28"/>
                <w:szCs w:val="28"/>
              </w:rPr>
              <w:t>、具体的鼓励与引导机制：对学生的操作、表达给予针对性反馈（如“你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用了多种方式表示这个数</w:t>
            </w:r>
            <w:r>
              <w:rPr>
                <w:rFonts w:hint="eastAsia"/>
                <w:sz w:val="28"/>
                <w:szCs w:val="28"/>
              </w:rPr>
              <w:t>，能说说千位上的‘2’表示什么吗？”），用追问式鼓励替代空泛表扬，为学生指明探究方向，激发持续的学习动力</w:t>
            </w:r>
          </w:p>
        </w:tc>
      </w:tr>
    </w:tbl>
    <w:p w14:paraId="50430C25">
      <w:pPr>
        <w:rPr>
          <w:rFonts w:ascii="Arial"/>
          <w:sz w:val="21"/>
        </w:rPr>
      </w:pPr>
    </w:p>
    <w:sectPr>
      <w:pgSz w:w="15870" w:h="22450"/>
      <w:pgMar w:top="1147" w:right="1694" w:bottom="113" w:left="135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02800D1"/>
    <w:rsid w:val="2DD5263C"/>
    <w:rsid w:val="63DC44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1340</Words>
  <Characters>1395</Characters>
  <TotalTime>80</TotalTime>
  <ScaleCrop>false</ScaleCrop>
  <LinksUpToDate>false</LinksUpToDate>
  <CharactersWithSpaces>1411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2026-05-09T18:56:00Z</dcterms:created>
  <dc:creator>安然</dc:creator>
  <cp:lastModifiedBy>WPS_1671806981</cp:lastModifiedBy>
  <dcterms:modified xsi:type="dcterms:W3CDTF">2026-05-10T14:33:26Z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2026-05-09T18:56:19Z</vt:filetime>
  </property>
  <property fmtid="{D5CDD505-2E9C-101B-9397-08002B2CF9AE}" pid="4" name="UsrData">
    <vt:lpwstr>69ff12d1bc9570001fb88c07wl</vt:lpwstr>
  </property>
  <property fmtid="{D5CDD505-2E9C-101B-9397-08002B2CF9AE}" pid="5" name="KSOTemplateDocerSaveRecord">
    <vt:lpwstr>eyJoZGlkIjoiMzFmYjgyYjhhZTE1OTJmYmEzMWFhMTkzYzg4ZmZlZmUiLCJ1c2VySWQiOiIxNDUyOTA5NTkwIn0=</vt:lpwstr>
  </property>
  <property fmtid="{D5CDD505-2E9C-101B-9397-08002B2CF9AE}" pid="6" name="KSOProductBuildVer">
    <vt:lpwstr>2052-12.1.0.25225</vt:lpwstr>
  </property>
  <property fmtid="{D5CDD505-2E9C-101B-9397-08002B2CF9AE}" pid="7" name="ICV">
    <vt:lpwstr>CFB40F95CF384826BA76F6F6F46BBF1F_12</vt:lpwstr>
  </property>
</Properties>
</file>